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228</w:t>
      </w:r>
    </w:p>
    <w:p>
      <w:r>
        <w:t>Bundesgericht (BGE), 2005-04-19, FR</w:t>
      </w:r>
    </w:p>
    <w:p>
      <w:r>
        <w:rPr>
          <w:b/>
        </w:rPr>
        <w:t xml:space="preserve">Quelle: </w:t>
      </w:r>
      <w:r>
        <w:t>https://mcp.opencaselaw.ch/entscheid/bge_131 II 228</w:t>
      </w:r>
    </w:p>
    <w:p>
      <w:r>
        <w:t>FR: ATF 131 II 228</w:t>
      </w:r>
    </w:p>
    <w:p>
      <w:r>
        <w:t>IT: DTF 131 II 228</w:t>
      </w:r>
    </w:p>
    <w:p>
      <w:pPr>
        <w:pStyle w:val="Heading2"/>
      </w:pPr>
      <w:r>
        <w:t>Regeste</w:t>
      </w:r>
    </w:p>
    <w:p>
      <w:r>
        <w:t>Regeste Art. 2, 80h und 80p IRSG; Voraussetzungen der Rechtshilfe; Beschwerdelegitimation; Gewährleistung der Verteidigungsrechte und der Unschuldsvermutung; Verbot der Todesstrafe. Wird die Gewährung der Rechtshilfe an Auflagen im Sinne von Art. 2 IRSG geknüpft, können nur die zur Anrufung dieser Norm befugten natürlichen Personen den Entscheid über die abgegebenen Garantien anfechten (E. 1). Das Verfahren zur Prüfung der Annahmeerklärung gemäss Art. 80p IRSG kann nicht zu einer Revision des Rechtshilfeentscheides führen (E. 2). Tragweite der abgegebenen Zusicherungen betreffend die Verteidigungsrechte und die Unschuldsvermutung (E. 3.1 und 3.2). Die Todesstrafe darf im ausländischen Staat weder beantragt, noch ausgesprochen noch vollstreckt werden; Sinn und Tragweite dieser Auflage (E. 3.3).</w:t>
      </w:r>
    </w:p>
    <w:p>
      <w:pPr>
        <w:pStyle w:val="Heading2"/>
      </w:pPr>
      <w:r>
        <w:t>Erwägungen</w:t>
      </w:r>
    </w:p>
    <w:p>
      <w:r>
        <w:rPr>
          <w:b/>
        </w:rPr>
        <w:t>E. 1</w:t>
      </w:r>
    </w:p>
    <w:p>
      <w:r>
        <w:t>Dans l'arrêt du 3 mai 2004, le Tribunal fédéral a admis partiellement le recours sous l'angle de l'art. 2 de la loi fédérale sur l'entraide internationale en matière pénale, du 20 mars 1981 (EIMP; RS 351.1) et soumis l'entraide à des conditions à respecter par les autorités de Taïwan ( ATF 130 II 217 consid. 8.9 p. 233). La qualité pour agir n'a été reconnue sous cet angle qu'aux membres de la famille Wang, à l'exclusion des personnes morales recourantes ( ATF 130 II 217 consid. 8.2 p. 227/228). Celles-ci ne sont partant pas habilitées à entreprendre la décision de l'Office fédéral relative au respect des garanties au sens de l' art. 80p al. 3 et 4 EIMP . Le recours est ainsi irrecevable en tant qu'il émane de Bucellattie International Inc., Buleverd Company Ltd, Cathay Enterprise Company Ltd, Euromax Ltd, Kilkenny Investments, Luxmore Inc., Middlebury Investments et Sableman International Ltd.</w:t>
      </w:r>
    </w:p>
    <w:p>
      <w:r>
        <w:rPr>
          <w:b/>
        </w:rPr>
        <w:t>E. 2</w:t>
      </w:r>
    </w:p>
    <w:p>
      <w:r>
        <w:t>Lorsque, comme en l'espèce, les conditions auxquelles est soumis l'octroi de l'entraide sont fixées par le Tribunal fédéral dans le dispositif de son arrêt, le rôle de l'Office fédéral se limite à communiquer ces exigences aux autorités étrangères, les éclairer sur la procédure et vérifier que les assurances données correspondent à ce qui a été demandé, entièrement et sans ambiguïté aucune ( ATF 124 II 132 consid. 3b p. 140/141; cf. en dernier lieu l'arrêt 1A.214/2004 du 28 décembre 2004, consid. 2.1). La vérification du caractère BGE 131 II 228 S. 232 suffisant de l'engagement de l'autorité étrangère (cf. art. 80p al. 3 EIMP ) constitue le seul objet du litige. La procédure de contrôle instituée par l' art. 80p al. 4 EIMP n'a ainsi pas pour but de remettre en discussion la décision relative à l'octroi de l'entraide, par une sorte d'appel déguisé de l'arrêt rendu le 3 mai 2004. Sont ainsi hors de propos les arguments des recourants relatifs au statut international de Taïwan et au respect des garanties de procédure, notamment du procès équitable.</w:t>
      </w:r>
    </w:p>
    <w:p>
      <w:r>
        <w:rPr>
          <w:b/>
        </w:rPr>
        <w:t>E. 3</w:t>
      </w:r>
    </w:p>
    <w:p>
      <w:r>
        <w:t>Les recourants contestent que l'engagement donné par les autorités de Taïwan serait suffisant au regard des conditions posées par le Tribunal fédéral dans le ch. 2 du dispositif de l'arrêt du 3 mai 2004 (cf. ATF 130 II 217 p. 235/236).</w:t>
      </w:r>
    </w:p>
    <w:p>
      <w:r>
        <w:rPr>
          <w:b/>
        </w:rPr>
        <w:t>E. 3.1</w:t>
      </w:r>
    </w:p>
    <w:p>
      <w:r>
        <w:t>Pour ce qui est du respect des droits de la défense et notamment de celui d'être assisté par un défenseur de choix (ch. 2 let. a du dispositif), les recourants font valoir les obstacles que dresseraient les autorités de Taïwan à l'exercice de leurs droits. Ils se plaignent en particulier du fait que le Ministère de la justice aurait révoqué la légalisation de procurations émises en faveur de membres de la famille Wang et que les passeports de ceux-ci auraient été annulés. Ces mesures auraient pour conséquence qu'il leur serait impossible de désigner un défenseur. Sur ce point toutefois, les recourants ne se réfèrent qu'à des coupures de presse, et la légalisation n'a été demandée, semble-t-il, qu'en relation avec la vente de biens immobiliers, mais non point pour les besoins de la défense dans une procédure qui aurait été engagée à raison des faits évoqués dans la demande du 6 novembre 2001. Quoi qu'il en soit, l'Office fédéral pouvait considérer l'engagement pris comme suffisant et se dispenser d'investigations complémentaires sur ce point.</w:t>
      </w:r>
    </w:p>
    <w:p>
      <w:r>
        <w:rPr>
          <w:b/>
        </w:rPr>
        <w:t>E. 3.2</w:t>
      </w:r>
    </w:p>
    <w:p>
      <w:r>
        <w:t>En relation avec la présomption d'innocence, les recourants soutiennent que les assurances données divergent de ce qui avait été demandé. Alors que le Tribunal fédéral avait exigé que la présomption d'innocence soit respectée (ch. 2 let. b du dispositif de l'arrêt du 3 mai 2004), le Ministère de la justice de Taïwan a confirmé que tel serait le cas "pendant le procès" ("during the trial", dans la version anglaise). Cette différence n'est à première vue pas anodine, car la présomption d'innocence ne vaut pas seulement pour l'autorité de jugement, mais aussi pour toute autorité étatique ayant à connaître de l'affaire à un titre quelconque ( ATF 124 I 324 BGE 131 II 228 S. 233 consid. 3b p. 331, rappelé dans l'arrêt du 3 mai 2004; ATF 130 II 217 consid. 8.7 p. 232). A ce propos, les recourants se réfèrent à un avis de recherche diffusé par les autorités de Taïwan, désignant Wang Chuan-pu comme un délinquant condamné ("convicted offender"). Le Tribunal fédéral a déjà eu l'occasion de dire qu'il s'agissait là d'un amalgame malheureux n'équivalant pas à un préjugement ( ATF 130 II 217 consid. 8.7 p. 232). Il n'y a pas lieu d'y revenir. Pour le surplus, les recourants se réfèrent à des déclarations faites à la presse par des personnalités officielles de Taïwan, mais à une période antérieure à celle de la demande de garantie. Le seul élément postérieur à celle-ci se rapporte au compte-rendu de manifestations populaires désignant Wang Chuan-pu comme un criminel. Outre que ce fait n'est pas vérifiable, car la coupure de presse est rédigée en chinois, on ne saurait de toute manière imputer aux autorités de Taïwan les comportements de simples citoyens.</w:t>
      </w:r>
    </w:p>
    <w:p>
      <w:r>
        <w:rPr>
          <w:b/>
        </w:rPr>
        <w:t>E. 3.3</w:t>
      </w:r>
    </w:p>
    <w:p>
      <w:r>
        <w:t>Le Tribunal fédéral a réclamé des autorités de Taïwan l'engagement que la peine de mort ne sera ni requise, ni prononcée, ni appliquée. Cette exigence découle de l'obligation pour la Suisse de ne pas prêter la main à des procédures qui pourraient conduire à l'application de la peine capitale, fréquente à Taïwan (cf. ATF 130 II 217 consid. 8.8 p. 232/233).</w:t>
      </w:r>
    </w:p>
    <w:p>
      <w:r>
        <w:rPr>
          <w:b/>
        </w:rPr>
        <w:t>E. 3.3.1</w:t>
      </w:r>
    </w:p>
    <w:p>
      <w:r>
        <w:t>Les recourants exposent que la déclaration du Ministre de la justice de Taïwan se réfère aux infractions mentionnées dans la demande du 6 novembre 2001 et non, comme l'a fait le Tribunal fédéral, aux faits évoqués dans celle-ci. Ils en déduisent que les autorités de Taïwan seraient tentées de se défaire de l'engagement pris, en requalifiant les faits mis à la charge des accusés. A supposer que tel puisse être le cas, l'utilisation des documents transmis pour la répression d'autres infractions que celles visées dans la demande du 6 novembre 2001 serait de toute manière subordonnée à l'approbation de l'Office fédéral, en application du principe de la spécialité ( art. 67 al. 2 EIMP ).</w:t>
      </w:r>
    </w:p>
    <w:p>
      <w:r>
        <w:rPr>
          <w:b/>
        </w:rPr>
        <w:t>E. 3.3.2</w:t>
      </w:r>
    </w:p>
    <w:p>
      <w:r>
        <w:t>La formulation retenue au ch. 2 let. c du dispositif de l'arrêt du 3 mai 2004 ("la peine de mort ne sera ni requise, ni prononcée, ni appliquée") n'est pas une simple redondance. Elle ne doit rien au hasard. Développée en droit extraditionnel (cf. ATF 123 II 511 consid. 6b p. 522), elle vise à assurer une protection optimale à la personne poursuivie. Lorsque l'Etat requérant prend un BGE 131 II 228 S. 234 engagement de cette sorte, il doit tenir compte des difficultés qu'il peut soulever au regard des dispositions constitutionnelles de son droit interne. Ainsi, le représentant du pouvoir exécutif qui promet que la peine de mort ne sera pas appliquée peut légitimement redouter de se voir reprocher une ingérence dans le domaine de l'administration de la justice, partant une violation de la séparation des pouvoirs. On pourrait rétorquer que cela importe peu, dès l'instant où l'engagement pris par l'Etat requérant engage sa responsabilité internationale (cf. ATF 123 II 511 consid. 7c p. 525). Par souci d'efficacité toutefois, la formule retenue dans la jurisprudence vise les trois stades de la procédure de jugement. L'exigence que la peine de mort ne soit pas requise s'adresse à l'accusation. Dans les systèmes où il est interdit à l'autorité de jugement d'aller au-delà des réquisitions du Ministère public, une garantie en ce sens suffit. Dans les systèmes où les réquisitions du Procureur ne lient pas le tribunal, la promesse du pouvoir exécutif que la peine de mort ne soit pas prononcée peut être mise en échec par l'indépendance du tribunal. Pour le cas où celui-ci prononcerait la peine de mort malgré la promesse donnée, il est essentiel que les autorités chargées de l'exécution des jugements pénaux (en règle général, le pouvoir exécutif) s'engagent à ce que la peine de mort, même prononcée, ne soit pas appliquée au condamné.</w:t>
      </w:r>
    </w:p>
    <w:p>
      <w:r>
        <w:rPr>
          <w:b/>
        </w:rPr>
        <w:t>E. 3.3.3</w:t>
      </w:r>
    </w:p>
    <w:p>
      <w:r>
        <w:t>Le 8 octobre 2004, le Ministère de la justice de Taïwan a donné l'assurance qu'aucun tribunal ne condamnerait l'un des membres de la famille Wang à la peine de mort à raison des infractions mentionnées dans la demande d'entraide du 6 novembre 2001. Tel que formulé, l'engagement en question ne vise que l'autorité de jugement. Il est toutefois complété par la déclaration faite le 18 avril 2003 par les Procureurs Lo Jung-chien et Tsai Chiou-ming, selon laquelle le Ministère public de Taïwan s'est engagé à ne pas requérir la peine de mort contre les personnes qui seraient renvoyées en jugement à raison des faits évoqués dans la demande ( ATF 130 II 217 consid. 8.8 p. 233). Les recourants font grand cas des propos tenus par le Ministre et le Vice-ministre de la justice de Taïwan, rapportés par la presse locale, selon lesquelles la promesse faite à l'Office fédéral serait de nature politique; elle ne lierait pas juridiquement les tribunaux, dont l'indépendance est garantie par la Constitution taïwanaise. Comme on l'a vu, dans un régime de pouvoirs séparés, le pouvoir BGE 131 II 228 S. 235 exécutif est effectivement en situation de faire une promesse qu'il n'est pas absolument sûr de faire tenir, dans la mesure où la décision ne dépend pas de lui. Cette difficulté est réelle, quelle que soit la portée qu'il faut accorder (ou ne pas accorder) aux déclarations litigieuses. Dans ce contexte, il est regrettable que l'Office fédéral n'ait pas pris la précaution d'insister auprès des autorités de Taïwan pour qu'elles s'engagent à ne pas appliquer la peine de mort, pour le cas où l'autorité de jugement, s'écartant de la promesse faite à la Suisse par le gouvernement et des réquisitions du Ministère public, prononcerait la peine capitale à l'égard de l'une des personnes physiques recourantes. Ce défaut est irrémédiable eu égard au texte clair de l'engagement du 8 octobre 2004, qui évoque uniquement les tribunaux ("no court in Taïwan will sentence..."), mais non les autorités de Taïwan en général. Il s'ensuit que pour ce qui concerne le troisième volet du ch. 2 let. c du dispositif de l'arrêt du 3 mai 2004 ("la peine de mort ne sera pas appliquée"), les garanties offertes par les autorités de Taïwan sont insuffisantes.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